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RELATÓRIO DE INFORMAÇÕES  002–OUTUBRO/2017</w:t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CENTRO DE RELACIONAMENTO COM CLIENTES E DE INFORMAÇÃO AO CIDADÃO </w:t>
      </w:r>
    </w:p>
    <w:p w:rsidR="00632CE1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tbl>
      <w:tblPr>
        <w:tblW w:w="914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9"/>
      </w:tblGrid>
      <w:tr w:rsidR="00632CE1" w:rsidTr="00AC03BE">
        <w:trPr>
          <w:trHeight w:val="249"/>
          <w:tblCellSpacing w:w="0" w:type="dxa"/>
          <w:jc w:val="center"/>
        </w:trPr>
        <w:tc>
          <w:tcPr>
            <w:tcW w:w="9149" w:type="dxa"/>
            <w:hideMark/>
          </w:tcPr>
          <w:p w:rsidR="00632CE1" w:rsidRDefault="00632CE1">
            <w:pPr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632CE1" w:rsidTr="00AC03BE">
        <w:trPr>
          <w:trHeight w:val="249"/>
          <w:tblCellSpacing w:w="0" w:type="dxa"/>
          <w:jc w:val="center"/>
        </w:trPr>
        <w:tc>
          <w:tcPr>
            <w:tcW w:w="9149" w:type="dxa"/>
            <w:shd w:val="clear" w:color="auto" w:fill="FFFFFF"/>
            <w:hideMark/>
          </w:tcPr>
          <w:p w:rsidR="00632CE1" w:rsidRDefault="00632CE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E0A" w:rsidTr="00AC03BE">
        <w:trPr>
          <w:trHeight w:val="249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774E0A" w:rsidRDefault="00774E0A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2CE1" w:rsidTr="00AC03BE">
        <w:trPr>
          <w:trHeight w:val="2304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  <w:p w:rsidR="00AC03BE" w:rsidRDefault="00AC03BE" w:rsidP="00AC03BE">
            <w:pPr>
              <w:pStyle w:val="NormalWeb"/>
              <w:jc w:val="center"/>
              <w:rPr>
                <w:rFonts w:ascii="Trebuchet MS" w:hAnsi="Trebuchet MS"/>
                <w:b/>
                <w:sz w:val="20"/>
                <w:szCs w:val="20"/>
                <w:highlight w:val="lightGray"/>
              </w:rPr>
            </w:pPr>
            <w:r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>DEMANDAS ENVIADAS ÀS ÁREAS</w:t>
            </w:r>
          </w:p>
          <w:p w:rsidR="00AC03BE" w:rsidRDefault="00AC03BE" w:rsidP="00AC03BE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 w:cs="Calibri"/>
                <w:color w:val="1F497D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Em todas as demandas atendidas pelo 2º nível que forem encaminhadas aos Ambientes de Marketing e Comunicação, deverão ter na cópia a </w:t>
            </w:r>
            <w:r w:rsidRPr="002B0ABF">
              <w:rPr>
                <w:rFonts w:ascii="Trebuchet MS" w:hAnsi="Trebuchet MS"/>
                <w:sz w:val="20"/>
                <w:szCs w:val="20"/>
                <w:u w:val="single"/>
              </w:rPr>
              <w:t>GLÁUCIA Furtado Brasil de Almeida F096547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AC03BE" w:rsidRDefault="00AC03BE" w:rsidP="00AC03BE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Além disso, antes de encerrar o prazo de resposta da Unidade (48 horas úteis), sem retorno, solicitamos que mantenham contato por telefone para reforçar a necessidade de retorno dentro do prazo.</w:t>
            </w:r>
          </w:p>
          <w:p w:rsidR="00632CE1" w:rsidRDefault="00632CE1" w:rsidP="00AC03B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632CE1" w:rsidTr="00AC03BE">
        <w:trPr>
          <w:trHeight w:val="300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</w:tc>
      </w:tr>
    </w:tbl>
    <w:p w:rsidR="00774E0A" w:rsidRDefault="00774E0A" w:rsidP="00AC03BE">
      <w:pPr>
        <w:pStyle w:val="NormalWeb"/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highlight w:val="lightGray"/>
        </w:rPr>
        <w:t>GERÊNCIAS ESTADUAIS AGROAMIGO</w:t>
      </w:r>
    </w:p>
    <w:p w:rsidR="00774E0A" w:rsidRPr="00774E0A" w:rsidRDefault="00774E0A" w:rsidP="00AC03BE">
      <w:pPr>
        <w:pStyle w:val="NormalWeb"/>
        <w:jc w:val="both"/>
        <w:rPr>
          <w:rFonts w:ascii="Trebuchet MS" w:hAnsi="Trebuchet MS"/>
          <w:b/>
          <w:bCs/>
          <w:sz w:val="20"/>
          <w:szCs w:val="20"/>
          <w:highlight w:val="lightGray"/>
        </w:rPr>
      </w:pPr>
      <w:r>
        <w:rPr>
          <w:rFonts w:ascii="Trebuchet MS" w:hAnsi="Trebuchet MS"/>
          <w:sz w:val="20"/>
          <w:szCs w:val="20"/>
        </w:rPr>
        <w:t xml:space="preserve">Segue </w:t>
      </w:r>
      <w:r w:rsidRPr="00774E0A">
        <w:rPr>
          <w:rFonts w:ascii="Trebuchet MS" w:hAnsi="Trebuchet MS"/>
          <w:sz w:val="20"/>
          <w:szCs w:val="20"/>
        </w:rPr>
        <w:t xml:space="preserve">relação e endereço eletrônico das Gerências Estaduais do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>, que SEMPRE</w:t>
      </w:r>
      <w:r>
        <w:rPr>
          <w:rFonts w:ascii="Trebuchet MS" w:hAnsi="Trebuchet MS"/>
          <w:sz w:val="20"/>
          <w:szCs w:val="20"/>
        </w:rPr>
        <w:t xml:space="preserve"> devem ser envolvidas (na CÓPIA</w:t>
      </w:r>
      <w:r w:rsidRPr="00774E0A">
        <w:rPr>
          <w:rFonts w:ascii="Trebuchet MS" w:hAnsi="Trebuchet MS"/>
          <w:sz w:val="20"/>
          <w:szCs w:val="20"/>
        </w:rPr>
        <w:t xml:space="preserve"> ou </w:t>
      </w:r>
      <w:proofErr w:type="spellStart"/>
      <w:r w:rsidRPr="00774E0A">
        <w:rPr>
          <w:rFonts w:ascii="Trebuchet MS" w:hAnsi="Trebuchet MS"/>
          <w:sz w:val="20"/>
          <w:szCs w:val="20"/>
        </w:rPr>
        <w:t>no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PARA</w:t>
      </w:r>
      <w:r w:rsidRPr="00774E0A">
        <w:rPr>
          <w:rFonts w:ascii="Trebuchet MS" w:hAnsi="Trebuchet MS"/>
          <w:sz w:val="20"/>
          <w:szCs w:val="20"/>
        </w:rPr>
        <w:t>, a depender da demanda) na tratativas das demandas relacionadas ao programa.</w:t>
      </w:r>
      <w:r>
        <w:rPr>
          <w:rFonts w:ascii="Trebuchet MS" w:hAnsi="Trebuchet MS"/>
          <w:sz w:val="20"/>
          <w:szCs w:val="20"/>
        </w:rPr>
        <w:t xml:space="preserve"> I</w:t>
      </w:r>
      <w:r w:rsidRPr="00774E0A">
        <w:rPr>
          <w:rFonts w:ascii="Trebuchet MS" w:hAnsi="Trebuchet MS"/>
          <w:sz w:val="20"/>
          <w:szCs w:val="20"/>
        </w:rPr>
        <w:t>nserir no campo destinatário do Outlook os respecti</w:t>
      </w:r>
      <w:r>
        <w:rPr>
          <w:rFonts w:ascii="Trebuchet MS" w:hAnsi="Trebuchet MS"/>
          <w:sz w:val="20"/>
          <w:szCs w:val="20"/>
        </w:rPr>
        <w:t>vos endereços destacados abaixo:</w:t>
      </w:r>
    </w:p>
    <w:p w:rsidR="00774E0A" w:rsidRPr="00774E0A" w:rsidRDefault="00774E0A" w:rsidP="00774E0A">
      <w:pPr>
        <w:jc w:val="both"/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               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São </w:t>
      </w:r>
      <w:proofErr w:type="spellStart"/>
      <w:r w:rsidRPr="00774E0A">
        <w:rPr>
          <w:rFonts w:ascii="Trebuchet MS" w:hAnsi="Trebuchet MS"/>
          <w:sz w:val="20"/>
          <w:szCs w:val="20"/>
        </w:rPr>
        <w:t>Luis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&lt;</w:t>
      </w:r>
      <w:hyperlink r:id="rId5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GRPAGROESTSL2@correio.intra.bnb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Teresina &lt;</w:t>
      </w:r>
      <w:hyperlink r:id="rId6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GRPAGROESTTER@correio.intra.bnb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Fortaleza &lt;</w:t>
      </w:r>
      <w:hyperlink r:id="rId7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GRPAGROESTFOR@correio.intra.bnb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Salvador &lt;</w:t>
      </w:r>
      <w:hyperlink r:id="rId8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GRPAGROESTSAL@correio.intra.bnb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Maceió &lt;</w:t>
      </w:r>
      <w:hyperlink r:id="rId9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GRPAGROGERESMAC@correio.intra.bnb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João Pessoa &lt;</w:t>
      </w:r>
      <w:hyperlink r:id="rId10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GRPAGROESTJP@correio.intra.bnb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Aracaju </w:t>
      </w:r>
      <w:hyperlink r:id="rId11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GRPAGROESTARA@correio.intra.bnb</w:t>
        </w:r>
      </w:hyperlink>
      <w:r w:rsidRPr="00774E0A">
        <w:rPr>
          <w:rFonts w:ascii="Trebuchet MS" w:hAnsi="Trebuchet MS"/>
          <w:sz w:val="20"/>
          <w:szCs w:val="20"/>
        </w:rPr>
        <w:t>;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Recife &lt;</w:t>
      </w:r>
      <w:hyperlink r:id="rId12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GRPAGROESTREC@correio.intra.bnb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Vitória da Conquista &lt;</w:t>
      </w:r>
      <w:hyperlink r:id="rId13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GRPAGROESTVT@correio.intra.bn</w:t>
        </w:r>
        <w:r w:rsidRPr="00774E0A">
          <w:rPr>
            <w:rStyle w:val="Hyperlink"/>
            <w:rFonts w:ascii="Trebuchet MS" w:hAnsi="Trebuchet MS"/>
            <w:color w:val="auto"/>
            <w:sz w:val="20"/>
            <w:szCs w:val="20"/>
          </w:rPr>
          <w:t>b</w:t>
        </w:r>
      </w:hyperlink>
      <w:r w:rsidRPr="00774E0A">
        <w:rPr>
          <w:rFonts w:ascii="Trebuchet MS" w:hAnsi="Trebuchet MS"/>
          <w:sz w:val="20"/>
          <w:szCs w:val="20"/>
        </w:rPr>
        <w:t xml:space="preserve">&gt;; 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Natal </w:t>
      </w:r>
      <w:hyperlink r:id="rId14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GRPAGROESTNAT@correio.intra.bnb</w:t>
        </w:r>
      </w:hyperlink>
      <w:r w:rsidRPr="00774E0A">
        <w:rPr>
          <w:rFonts w:ascii="Trebuchet MS" w:hAnsi="Trebuchet MS"/>
          <w:sz w:val="20"/>
          <w:szCs w:val="20"/>
        </w:rPr>
        <w:t>;</w:t>
      </w:r>
    </w:p>
    <w:p w:rsidR="00774E0A" w:rsidRPr="00774E0A" w:rsidRDefault="00774E0A" w:rsidP="00774E0A">
      <w:pPr>
        <w:rPr>
          <w:rFonts w:ascii="Trebuchet MS" w:hAnsi="Trebuchet MS"/>
          <w:sz w:val="20"/>
          <w:szCs w:val="20"/>
        </w:rPr>
      </w:pPr>
      <w:r w:rsidRPr="00774E0A">
        <w:rPr>
          <w:rFonts w:ascii="Trebuchet MS" w:hAnsi="Trebuchet MS"/>
          <w:sz w:val="20"/>
          <w:szCs w:val="20"/>
        </w:rPr>
        <w:t xml:space="preserve">Grupo </w:t>
      </w:r>
      <w:proofErr w:type="spellStart"/>
      <w:r w:rsidRPr="00774E0A">
        <w:rPr>
          <w:rFonts w:ascii="Trebuchet MS" w:hAnsi="Trebuchet MS"/>
          <w:sz w:val="20"/>
          <w:szCs w:val="20"/>
        </w:rPr>
        <w:t>Agroamigo</w:t>
      </w:r>
      <w:proofErr w:type="spellEnd"/>
      <w:r w:rsidRPr="00774E0A">
        <w:rPr>
          <w:rFonts w:ascii="Trebuchet MS" w:hAnsi="Trebuchet MS"/>
          <w:sz w:val="20"/>
          <w:szCs w:val="20"/>
        </w:rPr>
        <w:t xml:space="preserve"> – Gerência Estadual Montes Claros &lt;</w:t>
      </w:r>
      <w:hyperlink r:id="rId15" w:history="1">
        <w:r w:rsidRPr="00774E0A">
          <w:rPr>
            <w:rStyle w:val="Hyperlink"/>
            <w:rFonts w:ascii="Trebuchet MS" w:hAnsi="Trebuchet MS"/>
            <w:color w:val="auto"/>
            <w:sz w:val="20"/>
            <w:szCs w:val="20"/>
            <w:highlight w:val="yellow"/>
          </w:rPr>
          <w:t>GRPAGROESTMC@correio.intra.bnb</w:t>
        </w:r>
      </w:hyperlink>
      <w:r w:rsidRPr="00774E0A">
        <w:rPr>
          <w:rFonts w:ascii="Trebuchet MS" w:hAnsi="Trebuchet MS"/>
          <w:sz w:val="20"/>
          <w:szCs w:val="20"/>
        </w:rPr>
        <w:t>&gt;</w:t>
      </w:r>
    </w:p>
    <w:p w:rsidR="00895C8A" w:rsidRDefault="00895C8A">
      <w:pPr>
        <w:rPr>
          <w:rFonts w:ascii="Trebuchet MS" w:hAnsi="Trebuchet MS"/>
          <w:sz w:val="20"/>
          <w:szCs w:val="20"/>
        </w:rPr>
      </w:pPr>
    </w:p>
    <w:p w:rsidR="00AC03BE" w:rsidRDefault="00AC03BE" w:rsidP="00AC03BE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AC03BE" w:rsidRDefault="00AC03BE" w:rsidP="00AC03BE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AC03BE" w:rsidRDefault="00AC03BE" w:rsidP="00AC03BE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  <w:r>
        <w:rPr>
          <w:rFonts w:ascii="Trebuchet MS" w:hAnsi="Trebuchet MS"/>
          <w:sz w:val="20"/>
          <w:szCs w:val="20"/>
          <w:highlight w:val="lightGray"/>
          <w:lang w:eastAsia="en-US"/>
        </w:rPr>
        <w:t>AGROAMIGO - PERDA DO BÔNUS DE ADIMPLÊNCIA</w:t>
      </w:r>
    </w:p>
    <w:p w:rsidR="00AC03BE" w:rsidRDefault="00AC03BE" w:rsidP="00AC03BE">
      <w:pPr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en-US"/>
        </w:rPr>
      </w:pPr>
    </w:p>
    <w:p w:rsidR="00AC03BE" w:rsidRDefault="00AC03BE" w:rsidP="00AC03BE">
      <w:pPr>
        <w:jc w:val="both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t xml:space="preserve">Nas demandas envolvendo a perda de bônus de adimplência do </w:t>
      </w:r>
      <w:proofErr w:type="spellStart"/>
      <w:r>
        <w:rPr>
          <w:rFonts w:ascii="Trebuchet MS" w:hAnsi="Trebuchet MS"/>
          <w:sz w:val="20"/>
          <w:szCs w:val="20"/>
          <w:lang w:eastAsia="en-US"/>
        </w:rPr>
        <w:t>Agroamigo</w:t>
      </w:r>
      <w:proofErr w:type="spellEnd"/>
      <w:r>
        <w:rPr>
          <w:rFonts w:ascii="Trebuchet MS" w:hAnsi="Trebuchet MS"/>
          <w:sz w:val="20"/>
          <w:szCs w:val="20"/>
          <w:lang w:eastAsia="en-US"/>
        </w:rPr>
        <w:t>, repassar ao cliente que "</w:t>
      </w:r>
      <w:r>
        <w:rPr>
          <w:rFonts w:ascii="Trebuchet MS" w:hAnsi="Trebuchet MS"/>
          <w:b/>
          <w:bCs/>
          <w:sz w:val="20"/>
          <w:szCs w:val="20"/>
          <w:lang w:eastAsia="en-US"/>
        </w:rPr>
        <w:t xml:space="preserve">existe cláusula no instrumento de crédito que prevê a concessão ou não de bônus. A concessão do bônus de adimplência cessará quando for atingido o teto operacional com direito a referido bônus, conforme normas divulgadas pelo Banco Central do Brasil. Para maiores esclarecimentos, procure a unidade do </w:t>
      </w:r>
      <w:proofErr w:type="spellStart"/>
      <w:r>
        <w:rPr>
          <w:rFonts w:ascii="Trebuchet MS" w:hAnsi="Trebuchet MS"/>
          <w:b/>
          <w:bCs/>
          <w:sz w:val="20"/>
          <w:szCs w:val="20"/>
          <w:lang w:eastAsia="en-US"/>
        </w:rPr>
        <w:t>Agroamigo</w:t>
      </w:r>
      <w:proofErr w:type="spellEnd"/>
      <w:r>
        <w:rPr>
          <w:rFonts w:ascii="Trebuchet MS" w:hAnsi="Trebuchet MS"/>
          <w:b/>
          <w:bCs/>
          <w:sz w:val="20"/>
          <w:szCs w:val="20"/>
          <w:lang w:eastAsia="en-US"/>
        </w:rPr>
        <w:t xml:space="preserve"> ou sua Agência de relacionamento".</w:t>
      </w:r>
    </w:p>
    <w:p w:rsidR="00AC03BE" w:rsidRDefault="00AC03BE" w:rsidP="00AC03BE">
      <w:pPr>
        <w:jc w:val="both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t xml:space="preserve">Dessa forma, vocês encaminharão a demanda para agência apenas para conhecimento, conforme modelo anexo. </w:t>
      </w:r>
      <w:r>
        <w:rPr>
          <w:rFonts w:ascii="Trebuchet MS" w:hAnsi="Trebuchet MS"/>
          <w:color w:val="FF0000"/>
          <w:sz w:val="20"/>
          <w:szCs w:val="20"/>
          <w:lang w:eastAsia="en-US"/>
        </w:rPr>
        <w:t>(</w:t>
      </w:r>
      <w:proofErr w:type="gramStart"/>
      <w:r>
        <w:rPr>
          <w:rFonts w:ascii="Trebuchet MS" w:hAnsi="Trebuchet MS"/>
          <w:color w:val="FF0000"/>
          <w:sz w:val="20"/>
          <w:szCs w:val="20"/>
          <w:lang w:eastAsia="en-US"/>
        </w:rPr>
        <w:t>anexar</w:t>
      </w:r>
      <w:proofErr w:type="gramEnd"/>
      <w:r>
        <w:rPr>
          <w:rFonts w:ascii="Trebuchet MS" w:hAnsi="Trebuchet MS"/>
          <w:color w:val="FF0000"/>
          <w:sz w:val="20"/>
          <w:szCs w:val="20"/>
          <w:lang w:eastAsia="en-US"/>
        </w:rPr>
        <w:t xml:space="preserve"> o </w:t>
      </w:r>
      <w:proofErr w:type="spellStart"/>
      <w:r>
        <w:rPr>
          <w:rFonts w:ascii="Trebuchet MS" w:hAnsi="Trebuchet MS"/>
          <w:color w:val="FF0000"/>
          <w:sz w:val="20"/>
          <w:szCs w:val="20"/>
          <w:lang w:eastAsia="en-US"/>
        </w:rPr>
        <w:t>infomail</w:t>
      </w:r>
      <w:proofErr w:type="spellEnd"/>
      <w:r>
        <w:rPr>
          <w:rFonts w:ascii="Trebuchet MS" w:hAnsi="Trebuchet MS"/>
          <w:color w:val="FF0000"/>
          <w:sz w:val="20"/>
          <w:szCs w:val="20"/>
          <w:lang w:eastAsia="en-US"/>
        </w:rPr>
        <w:t>)</w:t>
      </w:r>
    </w:p>
    <w:p w:rsidR="00AC03BE" w:rsidRDefault="00AC03BE" w:rsidP="00AC03BE">
      <w:pPr>
        <w:pStyle w:val="section1"/>
        <w:spacing w:before="0" w:beforeAutospacing="0" w:after="0" w:afterAutospacing="0"/>
        <w:rPr>
          <w:rFonts w:ascii="Trebuchet MS" w:hAnsi="Trebuchet MS" w:cs="Calibri"/>
          <w:color w:val="1F497D"/>
          <w:sz w:val="20"/>
          <w:szCs w:val="20"/>
        </w:rPr>
      </w:pPr>
    </w:p>
    <w:p w:rsidR="00536A1F" w:rsidRDefault="00536A1F" w:rsidP="00AC03BE">
      <w:pPr>
        <w:pStyle w:val="section1"/>
        <w:spacing w:before="0" w:beforeAutospacing="0" w:after="0" w:afterAutospacing="0"/>
        <w:rPr>
          <w:rFonts w:ascii="Trebuchet MS" w:hAnsi="Trebuchet MS" w:cs="Calibri"/>
          <w:color w:val="1F497D"/>
          <w:sz w:val="20"/>
          <w:szCs w:val="20"/>
        </w:rPr>
      </w:pPr>
    </w:p>
    <w:p w:rsidR="00536A1F" w:rsidRDefault="00536A1F" w:rsidP="00536A1F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  <w:r>
        <w:rPr>
          <w:rFonts w:ascii="Trebuchet MS" w:hAnsi="Trebuchet MS"/>
          <w:sz w:val="20"/>
          <w:szCs w:val="20"/>
          <w:highlight w:val="lightGray"/>
          <w:lang w:eastAsia="en-US"/>
        </w:rPr>
        <w:lastRenderedPageBreak/>
        <w:t xml:space="preserve">DEMANDAS </w:t>
      </w:r>
      <w:r w:rsidR="009D6325">
        <w:rPr>
          <w:rFonts w:ascii="Trebuchet MS" w:hAnsi="Trebuchet MS"/>
          <w:sz w:val="20"/>
          <w:szCs w:val="20"/>
          <w:highlight w:val="lightGray"/>
          <w:lang w:eastAsia="en-US"/>
        </w:rPr>
        <w:t xml:space="preserve">- CONSULTAS DE </w:t>
      </w:r>
      <w:r>
        <w:rPr>
          <w:rFonts w:ascii="Trebuchet MS" w:hAnsi="Trebuchet MS"/>
          <w:sz w:val="20"/>
          <w:szCs w:val="20"/>
          <w:highlight w:val="lightGray"/>
          <w:lang w:eastAsia="en-US"/>
        </w:rPr>
        <w:t>TED</w:t>
      </w:r>
    </w:p>
    <w:p w:rsidR="00536A1F" w:rsidRDefault="00536A1F" w:rsidP="00536A1F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536A1F" w:rsidRDefault="00536A1F" w:rsidP="00536A1F">
      <w:pPr>
        <w:pStyle w:val="Ttulo3"/>
        <w:jc w:val="both"/>
        <w:rPr>
          <w:rFonts w:ascii="Trebuchet MS" w:hAnsi="Trebuchet MS"/>
          <w:b w:val="0"/>
          <w:sz w:val="20"/>
          <w:szCs w:val="20"/>
          <w:u w:val="single"/>
          <w:lang w:eastAsia="en-US"/>
        </w:rPr>
      </w:pPr>
      <w:r w:rsidRPr="00536A1F">
        <w:rPr>
          <w:rFonts w:ascii="Trebuchet MS" w:hAnsi="Trebuchet MS"/>
          <w:b w:val="0"/>
          <w:sz w:val="20"/>
          <w:szCs w:val="20"/>
          <w:lang w:eastAsia="en-US"/>
        </w:rPr>
        <w:t xml:space="preserve">As demandas de consultas de TED devem ser encaminhadas para a Agência de Relacionamento do cliente. Caso seja necessário, inserir na cópia o </w:t>
      </w:r>
      <w:r w:rsidRPr="00536A1F">
        <w:rPr>
          <w:rFonts w:ascii="Trebuchet MS" w:hAnsi="Trebuchet MS"/>
          <w:sz w:val="20"/>
          <w:szCs w:val="20"/>
        </w:rPr>
        <w:t>GRUPO GEST. AMB. DE PROD. E DE SERV. BANCARIOS</w:t>
      </w:r>
      <w:r w:rsidR="009D6325">
        <w:rPr>
          <w:rFonts w:ascii="Trebuchet MS" w:hAnsi="Trebuchet MS"/>
          <w:b w:val="0"/>
          <w:sz w:val="20"/>
          <w:szCs w:val="20"/>
          <w:lang w:eastAsia="en-US"/>
        </w:rPr>
        <w:t xml:space="preserve">. </w:t>
      </w:r>
      <w:r w:rsidR="009D6325" w:rsidRPr="009D6325">
        <w:rPr>
          <w:rFonts w:ascii="Trebuchet MS" w:hAnsi="Trebuchet MS"/>
          <w:b w:val="0"/>
          <w:sz w:val="20"/>
          <w:szCs w:val="20"/>
          <w:lang w:eastAsia="en-US"/>
        </w:rPr>
        <w:t xml:space="preserve">Não devemos encaminhar demandas da natureza para o </w:t>
      </w:r>
      <w:r w:rsidR="009D6325" w:rsidRPr="009D6325">
        <w:rPr>
          <w:rFonts w:ascii="Trebuchet MS" w:hAnsi="Trebuchet MS"/>
          <w:b w:val="0"/>
          <w:sz w:val="20"/>
          <w:szCs w:val="20"/>
          <w:u w:val="single"/>
          <w:lang w:eastAsia="en-US"/>
        </w:rPr>
        <w:t>Grupo Pilotos de Reserva</w:t>
      </w:r>
    </w:p>
    <w:p w:rsidR="00340E23" w:rsidRDefault="00340E23" w:rsidP="00536A1F">
      <w:pPr>
        <w:pStyle w:val="Ttulo3"/>
        <w:jc w:val="both"/>
        <w:rPr>
          <w:rFonts w:ascii="Trebuchet MS" w:hAnsi="Trebuchet MS"/>
          <w:b w:val="0"/>
          <w:sz w:val="20"/>
          <w:szCs w:val="20"/>
          <w:u w:val="single"/>
          <w:lang w:eastAsia="en-US"/>
        </w:rPr>
      </w:pPr>
    </w:p>
    <w:p w:rsidR="003D6C4B" w:rsidRDefault="003D6C4B" w:rsidP="00536A1F">
      <w:pPr>
        <w:pStyle w:val="Ttulo3"/>
        <w:jc w:val="both"/>
        <w:rPr>
          <w:rFonts w:ascii="Trebuchet MS" w:hAnsi="Trebuchet MS"/>
          <w:b w:val="0"/>
          <w:sz w:val="20"/>
          <w:szCs w:val="20"/>
          <w:u w:val="single"/>
          <w:lang w:eastAsia="en-US"/>
        </w:rPr>
      </w:pPr>
    </w:p>
    <w:p w:rsidR="00640D9F" w:rsidRDefault="00640D9F" w:rsidP="00536A1F">
      <w:pPr>
        <w:pStyle w:val="Ttulo3"/>
        <w:jc w:val="both"/>
        <w:rPr>
          <w:rFonts w:ascii="Trebuchet MS" w:hAnsi="Trebuchet MS"/>
          <w:b w:val="0"/>
          <w:sz w:val="20"/>
          <w:szCs w:val="20"/>
          <w:u w:val="single"/>
          <w:lang w:eastAsia="en-US"/>
        </w:rPr>
      </w:pPr>
    </w:p>
    <w:p w:rsidR="00340E23" w:rsidRDefault="00340E23" w:rsidP="00340E23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  <w:r>
        <w:rPr>
          <w:rFonts w:ascii="Trebuchet MS" w:hAnsi="Trebuchet MS"/>
          <w:sz w:val="20"/>
          <w:szCs w:val="20"/>
          <w:highlight w:val="lightGray"/>
          <w:lang w:eastAsia="en-US"/>
        </w:rPr>
        <w:t xml:space="preserve">SUSPEITA DE FRAUDE </w:t>
      </w:r>
      <w:r w:rsidR="003D6C4B">
        <w:rPr>
          <w:rFonts w:ascii="Trebuchet MS" w:hAnsi="Trebuchet MS"/>
          <w:sz w:val="20"/>
          <w:szCs w:val="20"/>
          <w:highlight w:val="lightGray"/>
          <w:lang w:eastAsia="en-US"/>
        </w:rPr>
        <w:t>–</w:t>
      </w:r>
      <w:r>
        <w:rPr>
          <w:rFonts w:ascii="Trebuchet MS" w:hAnsi="Trebuchet MS"/>
          <w:sz w:val="20"/>
          <w:szCs w:val="20"/>
          <w:highlight w:val="lightGray"/>
          <w:lang w:eastAsia="en-US"/>
        </w:rPr>
        <w:t xml:space="preserve"> BOLETOS</w:t>
      </w:r>
      <w:r w:rsidR="003D6C4B">
        <w:rPr>
          <w:rFonts w:ascii="Trebuchet MS" w:hAnsi="Trebuchet MS"/>
          <w:sz w:val="20"/>
          <w:szCs w:val="20"/>
          <w:highlight w:val="lightGray"/>
          <w:lang w:eastAsia="en-US"/>
        </w:rPr>
        <w:t xml:space="preserve"> BANCÁRIOS</w:t>
      </w:r>
    </w:p>
    <w:p w:rsidR="003D6C4B" w:rsidRDefault="003D6C4B" w:rsidP="00340E23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3D6C4B" w:rsidRPr="003D6C4B" w:rsidRDefault="003D6C4B" w:rsidP="003D6C4B">
      <w:pPr>
        <w:jc w:val="both"/>
        <w:rPr>
          <w:rFonts w:ascii="Trebuchet MS" w:hAnsi="Trebuchet MS"/>
          <w:sz w:val="20"/>
          <w:szCs w:val="20"/>
        </w:rPr>
      </w:pPr>
      <w:r w:rsidRPr="003D6C4B">
        <w:rPr>
          <w:rFonts w:ascii="Trebuchet MS" w:hAnsi="Trebuchet MS"/>
          <w:sz w:val="20"/>
          <w:szCs w:val="20"/>
        </w:rPr>
        <w:t>D</w:t>
      </w:r>
      <w:r w:rsidRPr="003D6C4B">
        <w:rPr>
          <w:rFonts w:ascii="Trebuchet MS" w:hAnsi="Trebuchet MS"/>
          <w:sz w:val="20"/>
          <w:szCs w:val="20"/>
        </w:rPr>
        <w:t xml:space="preserve">emandas de </w:t>
      </w:r>
      <w:r w:rsidR="00B865A7">
        <w:rPr>
          <w:rFonts w:ascii="Trebuchet MS" w:hAnsi="Trebuchet MS"/>
          <w:sz w:val="20"/>
          <w:szCs w:val="20"/>
        </w:rPr>
        <w:t>clientes</w:t>
      </w:r>
      <w:r w:rsidRPr="003D6C4B">
        <w:rPr>
          <w:rFonts w:ascii="Trebuchet MS" w:hAnsi="Trebuchet MS"/>
          <w:sz w:val="20"/>
          <w:szCs w:val="20"/>
        </w:rPr>
        <w:t xml:space="preserve"> reclamando que pagaram boletos bancários com suspeita de fraude, sendo apa</w:t>
      </w:r>
      <w:r w:rsidRPr="003D6C4B">
        <w:rPr>
          <w:rFonts w:ascii="Trebuchet MS" w:hAnsi="Trebuchet MS"/>
          <w:sz w:val="20"/>
          <w:szCs w:val="20"/>
        </w:rPr>
        <w:t>rentemente do Banco do Nordeste, a</w:t>
      </w:r>
      <w:r w:rsidRPr="003D6C4B">
        <w:rPr>
          <w:rFonts w:ascii="Trebuchet MS" w:hAnsi="Trebuchet MS"/>
          <w:sz w:val="20"/>
          <w:szCs w:val="20"/>
        </w:rPr>
        <w:t xml:space="preserve">pós recebimento dos comprovantes encaminhados pelo cliente, a demanda deverá ser encaminhada à Central de Produtos e Serviços Bancários, com cópia </w:t>
      </w:r>
      <w:r w:rsidRPr="003D6C4B">
        <w:rPr>
          <w:rFonts w:ascii="Trebuchet MS" w:hAnsi="Trebuchet MS"/>
          <w:sz w:val="20"/>
          <w:szCs w:val="20"/>
        </w:rPr>
        <w:t xml:space="preserve">para </w:t>
      </w:r>
      <w:r w:rsidRPr="003D6C4B">
        <w:rPr>
          <w:rFonts w:ascii="Trebuchet MS" w:hAnsi="Trebuchet MS"/>
          <w:sz w:val="20"/>
          <w:szCs w:val="20"/>
        </w:rPr>
        <w:t>Carlos GIOVANI T. Parente F087564.</w:t>
      </w:r>
    </w:p>
    <w:p w:rsidR="003D6C4B" w:rsidRDefault="003D6C4B" w:rsidP="003D6C4B">
      <w:pPr>
        <w:rPr>
          <w:color w:val="1F497D"/>
        </w:rPr>
      </w:pPr>
      <w:bookmarkStart w:id="0" w:name="_GoBack"/>
      <w:bookmarkEnd w:id="0"/>
    </w:p>
    <w:p w:rsidR="003D6C4B" w:rsidRDefault="003D6C4B" w:rsidP="00340E23">
      <w:pPr>
        <w:pStyle w:val="Ttulo3"/>
        <w:jc w:val="center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3D6C4B" w:rsidRDefault="003D6C4B" w:rsidP="003D6C4B">
      <w:pPr>
        <w:pStyle w:val="Ttulo3"/>
        <w:jc w:val="both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340E23" w:rsidRPr="00536A1F" w:rsidRDefault="00340E23" w:rsidP="00536A1F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AC03BE" w:rsidRPr="00774E0A" w:rsidRDefault="00AC03BE">
      <w:pPr>
        <w:rPr>
          <w:rFonts w:ascii="Trebuchet MS" w:hAnsi="Trebuchet MS"/>
          <w:sz w:val="20"/>
          <w:szCs w:val="20"/>
        </w:rPr>
      </w:pPr>
    </w:p>
    <w:sectPr w:rsidR="00AC03BE" w:rsidRPr="00774E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E1"/>
    <w:rsid w:val="002B0ABF"/>
    <w:rsid w:val="00340E23"/>
    <w:rsid w:val="003D6C4B"/>
    <w:rsid w:val="00487C4C"/>
    <w:rsid w:val="00536A1F"/>
    <w:rsid w:val="00632CE1"/>
    <w:rsid w:val="00640D9F"/>
    <w:rsid w:val="00774E0A"/>
    <w:rsid w:val="00895C8A"/>
    <w:rsid w:val="009D6325"/>
    <w:rsid w:val="00AC03BE"/>
    <w:rsid w:val="00B12D26"/>
    <w:rsid w:val="00B865A7"/>
    <w:rsid w:val="00C2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E005B-D8DD-43D9-9984-6F007FB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semiHidden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74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PAGROESTSAL@correio.intra.bnb" TargetMode="External"/><Relationship Id="rId13" Type="http://schemas.openxmlformats.org/officeDocument/2006/relationships/hyperlink" Target="mailto:GRPAGROESTVT@correio.intra.bn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RPAGROESTFOR@correio.intra.bnb" TargetMode="External"/><Relationship Id="rId12" Type="http://schemas.openxmlformats.org/officeDocument/2006/relationships/hyperlink" Target="mailto:GRPAGROESTREC@correio.intra.bn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GRPAGROESTTER@correio.intra.bnb" TargetMode="External"/><Relationship Id="rId11" Type="http://schemas.openxmlformats.org/officeDocument/2006/relationships/hyperlink" Target="mailto:GRPAGROESTARA@correio.intra.bnb" TargetMode="External"/><Relationship Id="rId5" Type="http://schemas.openxmlformats.org/officeDocument/2006/relationships/hyperlink" Target="mailto:GRPAGROESTSL2@correio.intra.bnb" TargetMode="External"/><Relationship Id="rId15" Type="http://schemas.openxmlformats.org/officeDocument/2006/relationships/hyperlink" Target="mailto:GRPAGROESTMC@correio.intra.bnb" TargetMode="External"/><Relationship Id="rId10" Type="http://schemas.openxmlformats.org/officeDocument/2006/relationships/hyperlink" Target="mailto:GRPAGROESTJP@correio.intra.bnb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GRPAGROGERESMAC@correio.intra.bnb" TargetMode="External"/><Relationship Id="rId14" Type="http://schemas.openxmlformats.org/officeDocument/2006/relationships/hyperlink" Target="mailto:GRPAGROESTNAT@correio.intra.bnb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567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MICHELLE Ferreira Costa C012352</cp:lastModifiedBy>
  <cp:revision>34</cp:revision>
  <dcterms:created xsi:type="dcterms:W3CDTF">2017-09-29T16:20:00Z</dcterms:created>
  <dcterms:modified xsi:type="dcterms:W3CDTF">2017-10-03T19:36:00Z</dcterms:modified>
</cp:coreProperties>
</file>